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6A07B2" w14:textId="77777777" w:rsidR="00EB0432" w:rsidRPr="00EB0432" w:rsidRDefault="00EB0432" w:rsidP="00EB0432">
      <w:pPr>
        <w:spacing w:after="0" w:line="20" w:lineRule="atLeast"/>
        <w:ind w:left="0" w:firstLine="0"/>
        <w:contextualSpacing/>
        <w:rPr>
          <w:rFonts w:ascii="Arial" w:hAnsi="Arial" w:cs="Arial"/>
          <w:b/>
          <w:bCs/>
          <w:sz w:val="20"/>
          <w:szCs w:val="20"/>
        </w:rPr>
      </w:pPr>
      <w:bookmarkStart w:id="0" w:name="_Hlk220661916"/>
      <w:r w:rsidRPr="00EB0432">
        <w:rPr>
          <w:rFonts w:ascii="Arial" w:hAnsi="Arial" w:cs="Arial"/>
          <w:b/>
          <w:bCs/>
          <w:sz w:val="20"/>
          <w:szCs w:val="20"/>
        </w:rPr>
        <w:t>RFP NO. 20260102</w:t>
      </w:r>
      <w:r w:rsidRPr="00EB0432">
        <w:rPr>
          <w:rFonts w:ascii="Arial" w:hAnsi="Arial" w:cs="Arial"/>
          <w:b/>
          <w:bCs/>
          <w:sz w:val="20"/>
          <w:szCs w:val="20"/>
        </w:rPr>
        <w:t xml:space="preserve"> </w:t>
      </w:r>
      <w:r w:rsidRPr="00EB0432">
        <w:rPr>
          <w:rFonts w:ascii="Arial" w:hAnsi="Arial" w:cs="Arial"/>
          <w:b/>
          <w:bCs/>
          <w:sz w:val="20"/>
          <w:szCs w:val="20"/>
        </w:rPr>
        <w:t>Annex I: NKF Vendor Code of Conduct</w:t>
      </w:r>
    </w:p>
    <w:p w14:paraId="74D5DBCE" w14:textId="0CB61D32" w:rsidR="00EB0432" w:rsidRPr="00EB0432" w:rsidRDefault="00EB0432" w:rsidP="00EB0432">
      <w:pPr>
        <w:suppressLineNumbers/>
        <w:spacing w:after="0" w:line="20" w:lineRule="atLeast"/>
        <w:ind w:left="0" w:firstLine="0"/>
        <w:contextualSpacing/>
        <w:jc w:val="left"/>
        <w:rPr>
          <w:rFonts w:ascii="Arial" w:hAnsi="Arial" w:cs="Arial"/>
          <w:b/>
          <w:bCs/>
          <w:sz w:val="20"/>
          <w:szCs w:val="20"/>
        </w:rPr>
      </w:pPr>
    </w:p>
    <w:bookmarkEnd w:id="0"/>
    <w:p w14:paraId="3AE32014" w14:textId="77777777"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NKF Vendor Code of Conduct</w:t>
      </w:r>
    </w:p>
    <w:p w14:paraId="36526819" w14:textId="77777777" w:rsidR="00EB0432" w:rsidRPr="00EB0432" w:rsidRDefault="00EB0432" w:rsidP="00EB0432">
      <w:pPr>
        <w:spacing w:after="0" w:line="20" w:lineRule="atLeast"/>
        <w:ind w:left="0" w:firstLine="0"/>
        <w:contextualSpacing/>
        <w:rPr>
          <w:rFonts w:ascii="Arial" w:hAnsi="Arial" w:cs="Arial"/>
          <w:sz w:val="20"/>
          <w:szCs w:val="20"/>
        </w:rPr>
      </w:pPr>
    </w:p>
    <w:p w14:paraId="12704FD7" w14:textId="77777777" w:rsidR="00EB0432" w:rsidRPr="00EB0432" w:rsidRDefault="00EB0432" w:rsidP="00EB0432">
      <w:pPr>
        <w:spacing w:after="0" w:line="20" w:lineRule="atLeast"/>
        <w:ind w:left="0" w:firstLine="0"/>
        <w:contextualSpacing/>
        <w:rPr>
          <w:rFonts w:ascii="Arial" w:hAnsi="Arial" w:cs="Arial"/>
          <w:sz w:val="20"/>
          <w:szCs w:val="20"/>
        </w:rPr>
      </w:pPr>
      <w:r w:rsidRPr="00EB0432">
        <w:rPr>
          <w:rFonts w:ascii="Arial" w:hAnsi="Arial" w:cs="Arial"/>
          <w:sz w:val="20"/>
          <w:szCs w:val="20"/>
        </w:rPr>
        <w:t>At The National Kidney Foundation (NKF), we are committed to upholding the highest standards of integrity, transparency, and ethical behaviour in all our operations.</w:t>
      </w:r>
    </w:p>
    <w:p w14:paraId="79B3ACE4" w14:textId="77777777" w:rsidR="00EB0432" w:rsidRPr="00EB0432" w:rsidRDefault="00EB0432" w:rsidP="00EB0432">
      <w:pPr>
        <w:spacing w:after="0" w:line="20" w:lineRule="atLeast"/>
        <w:ind w:left="0" w:firstLine="0"/>
        <w:contextualSpacing/>
        <w:rPr>
          <w:rFonts w:ascii="Arial" w:hAnsi="Arial" w:cs="Arial"/>
          <w:sz w:val="20"/>
          <w:szCs w:val="20"/>
        </w:rPr>
      </w:pPr>
    </w:p>
    <w:p w14:paraId="7CFC9319" w14:textId="77777777" w:rsidR="00EB0432" w:rsidRPr="00EB0432" w:rsidRDefault="00EB0432" w:rsidP="00EB0432">
      <w:pPr>
        <w:spacing w:after="0" w:line="20" w:lineRule="atLeast"/>
        <w:ind w:left="0" w:firstLine="0"/>
        <w:contextualSpacing/>
        <w:rPr>
          <w:rFonts w:ascii="Arial" w:hAnsi="Arial" w:cs="Arial"/>
          <w:sz w:val="20"/>
          <w:szCs w:val="20"/>
        </w:rPr>
      </w:pPr>
      <w:r w:rsidRPr="00EB0432">
        <w:rPr>
          <w:rFonts w:ascii="Arial" w:hAnsi="Arial" w:cs="Arial"/>
          <w:sz w:val="20"/>
          <w:szCs w:val="20"/>
        </w:rPr>
        <w:t>This Vendor Code of Conduct outlines the principles and expectations we have for all our vendors, suppliers, and partners. It is designed to ensure that our values are reflected in every aspect of our supply chain and that we work together to promote a culture of respect, and sustainability.</w:t>
      </w:r>
    </w:p>
    <w:p w14:paraId="00A4120F" w14:textId="77777777" w:rsidR="00EB0432" w:rsidRPr="00EB0432" w:rsidRDefault="00EB0432" w:rsidP="00EB0432">
      <w:pPr>
        <w:spacing w:after="0" w:line="20" w:lineRule="atLeast"/>
        <w:ind w:left="0" w:firstLine="0"/>
        <w:contextualSpacing/>
        <w:rPr>
          <w:rFonts w:ascii="Arial" w:hAnsi="Arial" w:cs="Arial"/>
          <w:sz w:val="20"/>
          <w:szCs w:val="20"/>
        </w:rPr>
      </w:pPr>
    </w:p>
    <w:p w14:paraId="3155732F" w14:textId="77777777" w:rsidR="00EB0432" w:rsidRPr="00EB0432" w:rsidRDefault="00EB0432" w:rsidP="00EB0432">
      <w:pPr>
        <w:spacing w:after="0" w:line="20" w:lineRule="atLeast"/>
        <w:ind w:left="0" w:firstLine="0"/>
        <w:contextualSpacing/>
        <w:rPr>
          <w:rFonts w:ascii="Arial" w:hAnsi="Arial" w:cs="Arial"/>
          <w:sz w:val="20"/>
          <w:szCs w:val="20"/>
        </w:rPr>
      </w:pPr>
      <w:r w:rsidRPr="00EB0432">
        <w:rPr>
          <w:rFonts w:ascii="Arial" w:hAnsi="Arial" w:cs="Arial"/>
          <w:sz w:val="20"/>
          <w:szCs w:val="20"/>
        </w:rPr>
        <w:t>We expect our vendors to adhere to the following guidelines and to conduct their business in a manner that aligns with our commitment to ethical practices, legal compliance, and social responsibility. By working with us, you agree to uphold these standards and contribute to our mission of making a positive impact on the communities we serve.</w:t>
      </w:r>
    </w:p>
    <w:p w14:paraId="3630B295" w14:textId="77777777" w:rsidR="00EB0432" w:rsidRPr="00EB0432" w:rsidRDefault="00EB0432" w:rsidP="00EB0432">
      <w:pPr>
        <w:spacing w:after="0" w:line="20" w:lineRule="atLeast"/>
        <w:ind w:left="0" w:firstLine="0"/>
        <w:contextualSpacing/>
        <w:rPr>
          <w:rFonts w:ascii="Arial" w:hAnsi="Arial" w:cs="Arial"/>
          <w:sz w:val="20"/>
          <w:szCs w:val="20"/>
        </w:rPr>
      </w:pPr>
    </w:p>
    <w:p w14:paraId="053FE1AD" w14:textId="77777777"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1.0.</w:t>
      </w:r>
      <w:r w:rsidRPr="00EB0432">
        <w:rPr>
          <w:rFonts w:ascii="Arial" w:hAnsi="Arial" w:cs="Arial"/>
          <w:b/>
          <w:bCs/>
          <w:sz w:val="20"/>
          <w:szCs w:val="20"/>
        </w:rPr>
        <w:tab/>
        <w:t>Labour and Human Rights</w:t>
      </w:r>
    </w:p>
    <w:p w14:paraId="7EC1560D" w14:textId="77777777" w:rsidR="00EB0432" w:rsidRPr="00EB0432" w:rsidRDefault="00EB0432" w:rsidP="00EB0432">
      <w:pPr>
        <w:spacing w:after="0" w:line="20" w:lineRule="atLeast"/>
        <w:ind w:left="0" w:firstLine="0"/>
        <w:contextualSpacing/>
        <w:rPr>
          <w:rFonts w:ascii="Arial" w:hAnsi="Arial" w:cs="Arial"/>
          <w:sz w:val="20"/>
          <w:szCs w:val="20"/>
        </w:rPr>
      </w:pPr>
      <w:r w:rsidRPr="00EB0432">
        <w:rPr>
          <w:rFonts w:ascii="Arial" w:hAnsi="Arial" w:cs="Arial"/>
          <w:sz w:val="20"/>
          <w:szCs w:val="20"/>
        </w:rPr>
        <w:t>1.1.</w:t>
      </w:r>
      <w:r w:rsidRPr="00EB0432">
        <w:rPr>
          <w:rFonts w:ascii="Arial" w:hAnsi="Arial" w:cs="Arial"/>
          <w:sz w:val="20"/>
          <w:szCs w:val="20"/>
        </w:rPr>
        <w:tab/>
        <w:t>Vendors must not engage in or support the use of forced or involuntary labour.</w:t>
      </w:r>
    </w:p>
    <w:p w14:paraId="5A0F375E"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1.2.</w:t>
      </w:r>
      <w:r w:rsidRPr="00EB0432">
        <w:rPr>
          <w:rFonts w:ascii="Arial" w:hAnsi="Arial" w:cs="Arial"/>
          <w:sz w:val="20"/>
          <w:szCs w:val="20"/>
        </w:rPr>
        <w:tab/>
        <w:t>Vendors must comply with the applicable child labour laws and the minimum age for employment requirements in the country in which they operate.</w:t>
      </w:r>
    </w:p>
    <w:p w14:paraId="14CBFABA"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1.3.</w:t>
      </w:r>
      <w:r w:rsidRPr="00EB0432">
        <w:rPr>
          <w:rFonts w:ascii="Arial" w:hAnsi="Arial" w:cs="Arial"/>
          <w:sz w:val="20"/>
          <w:szCs w:val="20"/>
        </w:rPr>
        <w:tab/>
        <w:t>Vendors must treat their employees with dignity and respect, including prohibiting harassment, abuse or any form of inhumane treatment.</w:t>
      </w:r>
    </w:p>
    <w:p w14:paraId="45536F9B" w14:textId="77777777" w:rsidR="00EB0432" w:rsidRDefault="00EB0432" w:rsidP="00EB0432">
      <w:pPr>
        <w:spacing w:after="0" w:line="20" w:lineRule="atLeast"/>
        <w:ind w:left="0" w:firstLine="0"/>
        <w:contextualSpacing/>
        <w:rPr>
          <w:rFonts w:ascii="Arial" w:hAnsi="Arial" w:cs="Arial"/>
          <w:b/>
          <w:bCs/>
          <w:sz w:val="20"/>
          <w:szCs w:val="20"/>
        </w:rPr>
      </w:pPr>
    </w:p>
    <w:p w14:paraId="705E626C" w14:textId="501EB6B0"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2.0.</w:t>
      </w:r>
      <w:r w:rsidRPr="00EB0432">
        <w:rPr>
          <w:rFonts w:ascii="Arial" w:hAnsi="Arial" w:cs="Arial"/>
          <w:b/>
          <w:bCs/>
          <w:sz w:val="20"/>
          <w:szCs w:val="20"/>
        </w:rPr>
        <w:tab/>
        <w:t>Workplace, Safety and Health (WSH)</w:t>
      </w:r>
    </w:p>
    <w:p w14:paraId="6FF2B38E"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2.1.</w:t>
      </w:r>
      <w:r w:rsidRPr="00EB0432">
        <w:rPr>
          <w:rFonts w:ascii="Arial" w:hAnsi="Arial" w:cs="Arial"/>
          <w:sz w:val="20"/>
          <w:szCs w:val="20"/>
        </w:rPr>
        <w:tab/>
        <w:t>Vendors must ensure that employees can work in a safe and healthy environment, including adopting measures to prevent workplace accidents and injuries.</w:t>
      </w:r>
    </w:p>
    <w:p w14:paraId="4CDF4532" w14:textId="77777777" w:rsidR="00EB0432" w:rsidRPr="00EB0432" w:rsidRDefault="00EB0432" w:rsidP="00EB0432">
      <w:pPr>
        <w:spacing w:after="0" w:line="20" w:lineRule="atLeast"/>
        <w:ind w:left="0" w:firstLine="0"/>
        <w:contextualSpacing/>
        <w:rPr>
          <w:rFonts w:ascii="Arial" w:hAnsi="Arial" w:cs="Arial"/>
          <w:sz w:val="20"/>
          <w:szCs w:val="20"/>
        </w:rPr>
      </w:pPr>
    </w:p>
    <w:p w14:paraId="2C6E7DAF" w14:textId="77777777"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3.0.</w:t>
      </w:r>
      <w:r w:rsidRPr="00EB0432">
        <w:rPr>
          <w:rFonts w:ascii="Arial" w:hAnsi="Arial" w:cs="Arial"/>
          <w:b/>
          <w:bCs/>
          <w:sz w:val="20"/>
          <w:szCs w:val="20"/>
        </w:rPr>
        <w:tab/>
        <w:t>Protection of Personal Data</w:t>
      </w:r>
    </w:p>
    <w:p w14:paraId="25D87958"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3.1.</w:t>
      </w:r>
      <w:r w:rsidRPr="00EB0432">
        <w:rPr>
          <w:rFonts w:ascii="Arial" w:hAnsi="Arial" w:cs="Arial"/>
          <w:sz w:val="20"/>
          <w:szCs w:val="20"/>
        </w:rPr>
        <w:tab/>
        <w:t>Vendors are expected to comply with all data security and data protection laws and legislation of the Republic of Singapore and/or the countries in which they operate.</w:t>
      </w:r>
    </w:p>
    <w:p w14:paraId="7CB3E57B" w14:textId="77777777" w:rsidR="00EB0432" w:rsidRPr="00EB0432" w:rsidRDefault="00EB0432" w:rsidP="00EB0432">
      <w:pPr>
        <w:spacing w:after="0" w:line="20" w:lineRule="atLeast"/>
        <w:ind w:left="0" w:firstLine="0"/>
        <w:contextualSpacing/>
        <w:rPr>
          <w:rFonts w:ascii="Arial" w:hAnsi="Arial" w:cs="Arial"/>
          <w:sz w:val="20"/>
          <w:szCs w:val="20"/>
        </w:rPr>
      </w:pPr>
    </w:p>
    <w:p w14:paraId="1C778896" w14:textId="77777777"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4.0.</w:t>
      </w:r>
      <w:r w:rsidRPr="00EB0432">
        <w:rPr>
          <w:rFonts w:ascii="Arial" w:hAnsi="Arial" w:cs="Arial"/>
          <w:b/>
          <w:bCs/>
          <w:sz w:val="20"/>
          <w:szCs w:val="20"/>
        </w:rPr>
        <w:tab/>
        <w:t>Anti-Corruption &amp; Anti-Bribery</w:t>
      </w:r>
    </w:p>
    <w:p w14:paraId="30BFA15C"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4.1.</w:t>
      </w:r>
      <w:r w:rsidRPr="00EB0432">
        <w:rPr>
          <w:rFonts w:ascii="Arial" w:hAnsi="Arial" w:cs="Arial"/>
          <w:sz w:val="20"/>
          <w:szCs w:val="20"/>
        </w:rPr>
        <w:tab/>
        <w:t>NKF has zero-tolerance for any form of corruption or bribery and is committed to conducting business fairly and ethically.</w:t>
      </w:r>
    </w:p>
    <w:p w14:paraId="429E091C" w14:textId="77777777" w:rsidR="00EB0432" w:rsidRPr="00EB0432" w:rsidRDefault="00EB0432" w:rsidP="00EB0432">
      <w:pPr>
        <w:spacing w:after="0" w:line="20" w:lineRule="atLeast"/>
        <w:ind w:left="0" w:firstLine="0"/>
        <w:contextualSpacing/>
        <w:rPr>
          <w:rFonts w:ascii="Arial" w:hAnsi="Arial" w:cs="Arial"/>
          <w:sz w:val="20"/>
          <w:szCs w:val="20"/>
        </w:rPr>
      </w:pPr>
      <w:r w:rsidRPr="00EB0432">
        <w:rPr>
          <w:rFonts w:ascii="Arial" w:hAnsi="Arial" w:cs="Arial"/>
          <w:sz w:val="20"/>
          <w:szCs w:val="20"/>
        </w:rPr>
        <w:t>4.2.</w:t>
      </w:r>
      <w:r w:rsidRPr="00EB0432">
        <w:rPr>
          <w:rFonts w:ascii="Arial" w:hAnsi="Arial" w:cs="Arial"/>
          <w:sz w:val="20"/>
          <w:szCs w:val="20"/>
        </w:rPr>
        <w:tab/>
        <w:t>Vendors must disclose any actual or potential conflict of interest as soon as they arise.</w:t>
      </w:r>
    </w:p>
    <w:p w14:paraId="43D043F9"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4.3.</w:t>
      </w:r>
      <w:r w:rsidRPr="00EB0432">
        <w:rPr>
          <w:rFonts w:ascii="Arial" w:hAnsi="Arial" w:cs="Arial"/>
          <w:sz w:val="20"/>
          <w:szCs w:val="20"/>
        </w:rPr>
        <w:tab/>
        <w:t>Vendors are prohibited from offering anything of value to NKF or any external parties for the purpose of directly or indirectly advancing their business interests with NKF.</w:t>
      </w:r>
    </w:p>
    <w:p w14:paraId="27CC8844"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4.4.</w:t>
      </w:r>
      <w:r w:rsidRPr="00EB0432">
        <w:rPr>
          <w:rFonts w:ascii="Arial" w:hAnsi="Arial" w:cs="Arial"/>
          <w:sz w:val="20"/>
          <w:szCs w:val="20"/>
        </w:rPr>
        <w:tab/>
        <w:t>Vendors must comply with all requirements on applicable laws and regulations for anti- corruption, anti-bribery and fraud in the country in which they operate.</w:t>
      </w:r>
    </w:p>
    <w:p w14:paraId="6C946640" w14:textId="77777777" w:rsidR="00EB0432" w:rsidRPr="00EB0432" w:rsidRDefault="00EB0432" w:rsidP="00EB0432">
      <w:pPr>
        <w:spacing w:after="0" w:line="20" w:lineRule="atLeast"/>
        <w:ind w:left="0" w:firstLine="0"/>
        <w:contextualSpacing/>
        <w:rPr>
          <w:rFonts w:ascii="Arial" w:hAnsi="Arial" w:cs="Arial"/>
          <w:sz w:val="20"/>
          <w:szCs w:val="20"/>
        </w:rPr>
      </w:pPr>
    </w:p>
    <w:p w14:paraId="1423A561" w14:textId="77777777"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5.0.</w:t>
      </w:r>
      <w:r w:rsidRPr="00EB0432">
        <w:rPr>
          <w:rFonts w:ascii="Arial" w:hAnsi="Arial" w:cs="Arial"/>
          <w:b/>
          <w:bCs/>
          <w:sz w:val="20"/>
          <w:szCs w:val="20"/>
        </w:rPr>
        <w:tab/>
        <w:t>Anti-Money Laundering &amp; Counter Terrorist Financing</w:t>
      </w:r>
    </w:p>
    <w:p w14:paraId="368C4518"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5.1.</w:t>
      </w:r>
      <w:r w:rsidRPr="00EB0432">
        <w:rPr>
          <w:rFonts w:ascii="Arial" w:hAnsi="Arial" w:cs="Arial"/>
          <w:sz w:val="20"/>
          <w:szCs w:val="20"/>
        </w:rPr>
        <w:tab/>
        <w:t>Vendors are not to engage or attempt to engage in any transaction involving proceeds derived from unlawful activities and/or dealings with individuals/entities who are the subject of international sanctions.</w:t>
      </w:r>
    </w:p>
    <w:p w14:paraId="3E436ECE"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5.2.</w:t>
      </w:r>
      <w:r w:rsidRPr="00EB0432">
        <w:rPr>
          <w:rFonts w:ascii="Arial" w:hAnsi="Arial" w:cs="Arial"/>
          <w:sz w:val="20"/>
          <w:szCs w:val="20"/>
        </w:rPr>
        <w:tab/>
        <w:t>Vendors must comply with all applicable Anti-Money Laundering (AML) and Terrorist- Financing (TF) laws of the Republic of Singapore and/or the countries in which they operate.</w:t>
      </w:r>
    </w:p>
    <w:p w14:paraId="3BFE9A72" w14:textId="77777777" w:rsidR="00EB0432" w:rsidRPr="00EB0432" w:rsidRDefault="00EB0432" w:rsidP="00EB0432">
      <w:pPr>
        <w:spacing w:after="0" w:line="20" w:lineRule="atLeast"/>
        <w:ind w:left="0" w:firstLine="0"/>
        <w:contextualSpacing/>
        <w:rPr>
          <w:rFonts w:ascii="Arial" w:hAnsi="Arial" w:cs="Arial"/>
          <w:sz w:val="20"/>
          <w:szCs w:val="20"/>
        </w:rPr>
      </w:pPr>
    </w:p>
    <w:p w14:paraId="3177D770" w14:textId="77777777" w:rsidR="00EB0432" w:rsidRPr="00EB0432" w:rsidRDefault="00EB0432" w:rsidP="00EB0432">
      <w:pPr>
        <w:spacing w:after="0" w:line="20" w:lineRule="atLeast"/>
        <w:ind w:left="0" w:firstLine="0"/>
        <w:contextualSpacing/>
        <w:rPr>
          <w:rFonts w:ascii="Arial" w:hAnsi="Arial" w:cs="Arial"/>
          <w:b/>
          <w:bCs/>
          <w:sz w:val="20"/>
          <w:szCs w:val="20"/>
        </w:rPr>
      </w:pPr>
      <w:r w:rsidRPr="00EB0432">
        <w:rPr>
          <w:rFonts w:ascii="Arial" w:hAnsi="Arial" w:cs="Arial"/>
          <w:b/>
          <w:bCs/>
          <w:sz w:val="20"/>
          <w:szCs w:val="20"/>
        </w:rPr>
        <w:t>6.0.</w:t>
      </w:r>
      <w:r w:rsidRPr="00EB0432">
        <w:rPr>
          <w:rFonts w:ascii="Arial" w:hAnsi="Arial" w:cs="Arial"/>
          <w:b/>
          <w:bCs/>
          <w:sz w:val="20"/>
          <w:szCs w:val="20"/>
        </w:rPr>
        <w:tab/>
        <w:t>Commitment to Sustainability Efforts</w:t>
      </w:r>
    </w:p>
    <w:p w14:paraId="5D90BD3A"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6.1.</w:t>
      </w:r>
      <w:r w:rsidRPr="00EB0432">
        <w:rPr>
          <w:rFonts w:ascii="Arial" w:hAnsi="Arial" w:cs="Arial"/>
          <w:sz w:val="20"/>
          <w:szCs w:val="20"/>
        </w:rPr>
        <w:tab/>
        <w:t>Vendors should strive to use resources efficiently, reduce carbon emissions and minimise environmental impact.</w:t>
      </w:r>
    </w:p>
    <w:p w14:paraId="14B8363C" w14:textId="77777777" w:rsidR="00EB0432" w:rsidRPr="00EB0432" w:rsidRDefault="00EB0432" w:rsidP="00EB0432">
      <w:pPr>
        <w:spacing w:after="0" w:line="20" w:lineRule="atLeast"/>
        <w:ind w:left="720" w:hanging="720"/>
        <w:contextualSpacing/>
        <w:rPr>
          <w:rFonts w:ascii="Arial" w:hAnsi="Arial" w:cs="Arial"/>
          <w:sz w:val="20"/>
          <w:szCs w:val="20"/>
        </w:rPr>
      </w:pPr>
      <w:r w:rsidRPr="00EB0432">
        <w:rPr>
          <w:rFonts w:ascii="Arial" w:hAnsi="Arial" w:cs="Arial"/>
          <w:sz w:val="20"/>
          <w:szCs w:val="20"/>
        </w:rPr>
        <w:t>6.2.</w:t>
      </w:r>
      <w:r w:rsidRPr="00EB0432">
        <w:rPr>
          <w:rFonts w:ascii="Arial" w:hAnsi="Arial" w:cs="Arial"/>
          <w:sz w:val="20"/>
          <w:szCs w:val="20"/>
        </w:rPr>
        <w:tab/>
        <w:t>Vendors must comply with the applicable environmental laws, regulations and standards in the countries in which they operate.</w:t>
      </w:r>
    </w:p>
    <w:p w14:paraId="7A055F4E" w14:textId="77777777" w:rsidR="00EB0432" w:rsidRPr="00EB0432" w:rsidRDefault="00EB0432" w:rsidP="00EB0432">
      <w:pPr>
        <w:spacing w:after="0" w:line="20" w:lineRule="atLeast"/>
        <w:ind w:left="0" w:firstLine="0"/>
        <w:contextualSpacing/>
        <w:rPr>
          <w:rFonts w:ascii="Arial" w:hAnsi="Arial" w:cs="Arial"/>
          <w:sz w:val="20"/>
          <w:szCs w:val="20"/>
        </w:rPr>
      </w:pPr>
    </w:p>
    <w:p w14:paraId="3B26266D" w14:textId="77777777" w:rsidR="00EB0432" w:rsidRPr="00EB0432" w:rsidRDefault="00EB0432" w:rsidP="00EB0432">
      <w:pPr>
        <w:spacing w:after="0" w:line="20" w:lineRule="atLeast"/>
        <w:ind w:left="0" w:firstLine="0"/>
        <w:contextualSpacing/>
        <w:rPr>
          <w:rFonts w:ascii="Arial" w:hAnsi="Arial" w:cs="Arial"/>
          <w:sz w:val="20"/>
          <w:szCs w:val="20"/>
        </w:rPr>
      </w:pPr>
    </w:p>
    <w:p w14:paraId="419CFD70" w14:textId="77777777" w:rsidR="00EB0432" w:rsidRPr="00EB0432" w:rsidRDefault="00EB0432" w:rsidP="00EB0432">
      <w:pPr>
        <w:spacing w:after="0" w:line="20" w:lineRule="atLeast"/>
        <w:ind w:left="0" w:firstLine="0"/>
        <w:contextualSpacing/>
        <w:jc w:val="right"/>
        <w:rPr>
          <w:rFonts w:ascii="Arial" w:hAnsi="Arial" w:cs="Arial"/>
          <w:b/>
          <w:bCs/>
          <w:sz w:val="20"/>
          <w:szCs w:val="20"/>
        </w:rPr>
      </w:pPr>
      <w:r w:rsidRPr="00EB0432">
        <w:rPr>
          <w:rFonts w:ascii="Arial" w:hAnsi="Arial" w:cs="Arial"/>
          <w:b/>
          <w:bCs/>
          <w:sz w:val="20"/>
          <w:szCs w:val="20"/>
        </w:rPr>
        <w:t>Version: 1 Feb 2025</w:t>
      </w:r>
    </w:p>
    <w:p w14:paraId="0EC6B651" w14:textId="3EB3835C" w:rsidR="00E54FEE" w:rsidRPr="00EB0432" w:rsidRDefault="00EB0432" w:rsidP="00EB0432">
      <w:pPr>
        <w:spacing w:after="0" w:line="20" w:lineRule="atLeast"/>
        <w:ind w:left="0" w:firstLine="0"/>
        <w:contextualSpacing/>
        <w:jc w:val="right"/>
        <w:rPr>
          <w:rFonts w:ascii="Arial" w:hAnsi="Arial" w:cs="Arial"/>
          <w:sz w:val="20"/>
          <w:szCs w:val="20"/>
        </w:rPr>
      </w:pPr>
      <w:r w:rsidRPr="00EB0432">
        <w:rPr>
          <w:rFonts w:ascii="Arial" w:hAnsi="Arial" w:cs="Arial"/>
          <w:sz w:val="20"/>
          <w:szCs w:val="20"/>
        </w:rPr>
        <w:t>Page 1 of 1</w:t>
      </w:r>
    </w:p>
    <w:sectPr w:rsidR="00E54FEE" w:rsidRPr="00EB0432">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412F5A" w14:textId="77777777" w:rsidR="00981F08" w:rsidRDefault="00981F08" w:rsidP="00EB0432">
      <w:pPr>
        <w:spacing w:after="0" w:line="240" w:lineRule="auto"/>
      </w:pPr>
      <w:r>
        <w:separator/>
      </w:r>
    </w:p>
  </w:endnote>
  <w:endnote w:type="continuationSeparator" w:id="0">
    <w:p w14:paraId="2585255B" w14:textId="77777777" w:rsidR="00981F08" w:rsidRDefault="00981F08" w:rsidP="00EB0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049E8" w14:textId="77777777" w:rsidR="00981F08" w:rsidRDefault="00981F08" w:rsidP="00EB0432">
      <w:pPr>
        <w:spacing w:after="0" w:line="240" w:lineRule="auto"/>
      </w:pPr>
      <w:r>
        <w:separator/>
      </w:r>
    </w:p>
  </w:footnote>
  <w:footnote w:type="continuationSeparator" w:id="0">
    <w:p w14:paraId="23D99065" w14:textId="77777777" w:rsidR="00981F08" w:rsidRDefault="00981F08" w:rsidP="00EB04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82AE2" w14:textId="4E1D8A69" w:rsidR="00EB0432" w:rsidRDefault="00EB0432">
    <w:pPr>
      <w:pStyle w:val="Header"/>
    </w:pPr>
    <w:r>
      <w:rPr>
        <w:noProof/>
      </w:rPr>
      <w:drawing>
        <wp:anchor distT="0" distB="0" distL="114300" distR="114300" simplePos="0" relativeHeight="251659264" behindDoc="0" locked="1" layoutInCell="1" allowOverlap="0" wp14:anchorId="5E53CCBD" wp14:editId="11944A4C">
          <wp:simplePos x="0" y="0"/>
          <wp:positionH relativeFrom="page">
            <wp:align>right</wp:align>
          </wp:positionH>
          <wp:positionV relativeFrom="page">
            <wp:posOffset>4445</wp:posOffset>
          </wp:positionV>
          <wp:extent cx="7510780" cy="971550"/>
          <wp:effectExtent l="0" t="0" r="0" b="0"/>
          <wp:wrapNone/>
          <wp:docPr id="1379914449" name="Picture 1379914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322100" name="Picture 1147322100"/>
                  <pic:cNvPicPr/>
                </pic:nvPicPr>
                <pic:blipFill>
                  <a:blip r:embed="rId1">
                    <a:extLst>
                      <a:ext uri="{28A0092B-C50C-407E-A947-70E740481C1C}">
                        <a14:useLocalDpi xmlns:a14="http://schemas.microsoft.com/office/drawing/2010/main" val="0"/>
                      </a:ext>
                    </a:extLst>
                  </a:blip>
                  <a:stretch>
                    <a:fillRect/>
                  </a:stretch>
                </pic:blipFill>
                <pic:spPr>
                  <a:xfrm>
                    <a:off x="0" y="0"/>
                    <a:ext cx="7510780" cy="9715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033B45"/>
    <w:multiLevelType w:val="hybridMultilevel"/>
    <w:tmpl w:val="C87EFFA0"/>
    <w:lvl w:ilvl="0" w:tplc="48090001">
      <w:start w:val="1"/>
      <w:numFmt w:val="bullet"/>
      <w:lvlText w:val=""/>
      <w:lvlJc w:val="left"/>
      <w:pPr>
        <w:ind w:left="720" w:hanging="360"/>
      </w:pPr>
      <w:rPr>
        <w:rFonts w:ascii="Symbol" w:hAnsi="Symbol"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num w:numId="1" w16cid:durableId="720834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432"/>
    <w:rsid w:val="000359CD"/>
    <w:rsid w:val="00981F08"/>
    <w:rsid w:val="00A712DA"/>
    <w:rsid w:val="00CE069E"/>
    <w:rsid w:val="00E54FEE"/>
    <w:rsid w:val="00EB0432"/>
  </w:rsids>
  <m:mathPr>
    <m:mathFont m:val="Cambria Math"/>
    <m:brkBin m:val="before"/>
    <m:brkBinSub m:val="--"/>
    <m:smallFrac m:val="0"/>
    <m:dispDef/>
    <m:lMargin m:val="0"/>
    <m:rMargin m:val="0"/>
    <m:defJc m:val="centerGroup"/>
    <m:wrapIndent m:val="1440"/>
    <m:intLim m:val="subSup"/>
    <m:naryLim m:val="undOvr"/>
  </m:mathPr>
  <w:themeFontLang w:val="en-S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BAF6E"/>
  <w15:chartTrackingRefBased/>
  <w15:docId w15:val="{0834E9BC-17A2-46A7-B7B5-A8999A3F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S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0432"/>
    <w:pPr>
      <w:spacing w:after="160" w:line="360" w:lineRule="auto"/>
      <w:ind w:left="714" w:hanging="357"/>
      <w:jc w:val="both"/>
    </w:pPr>
    <w:rPr>
      <w:rFonts w:eastAsiaTheme="minorEastAsia"/>
      <w:lang w:eastAsia="zh-CN"/>
    </w:rPr>
  </w:style>
  <w:style w:type="paragraph" w:styleId="Heading1">
    <w:name w:val="heading 1"/>
    <w:basedOn w:val="Normal"/>
    <w:next w:val="Normal"/>
    <w:link w:val="Heading1Char"/>
    <w:uiPriority w:val="9"/>
    <w:qFormat/>
    <w:rsid w:val="00EB043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043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043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043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043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043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043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043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043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043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043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043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043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043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043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043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043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0432"/>
    <w:rPr>
      <w:rFonts w:eastAsiaTheme="majorEastAsia" w:cstheme="majorBidi"/>
      <w:color w:val="272727" w:themeColor="text1" w:themeTint="D8"/>
    </w:rPr>
  </w:style>
  <w:style w:type="paragraph" w:styleId="Title">
    <w:name w:val="Title"/>
    <w:basedOn w:val="Normal"/>
    <w:next w:val="Normal"/>
    <w:link w:val="TitleChar"/>
    <w:uiPriority w:val="10"/>
    <w:qFormat/>
    <w:rsid w:val="00EB043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043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043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043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0432"/>
    <w:pPr>
      <w:spacing w:before="160"/>
      <w:jc w:val="center"/>
    </w:pPr>
    <w:rPr>
      <w:i/>
      <w:iCs/>
      <w:color w:val="404040" w:themeColor="text1" w:themeTint="BF"/>
    </w:rPr>
  </w:style>
  <w:style w:type="character" w:customStyle="1" w:styleId="QuoteChar">
    <w:name w:val="Quote Char"/>
    <w:basedOn w:val="DefaultParagraphFont"/>
    <w:link w:val="Quote"/>
    <w:uiPriority w:val="29"/>
    <w:rsid w:val="00EB0432"/>
    <w:rPr>
      <w:i/>
      <w:iCs/>
      <w:color w:val="404040" w:themeColor="text1" w:themeTint="BF"/>
    </w:rPr>
  </w:style>
  <w:style w:type="paragraph" w:styleId="ListParagraph">
    <w:name w:val="List Paragraph"/>
    <w:aliases w:val="RUS List,Noise heading,Credits,Number abc,a List Paragraph,Text,Cell bullets,alphabet listing,List Paragraph1,Normal 1,Rec para,En tête 1,MICA-List,Colorful List - Accent 11,123 List Paragraph,L1,Recommendation,List Paragraph11,L,Dot pt"/>
    <w:basedOn w:val="Normal"/>
    <w:link w:val="ListParagraphChar"/>
    <w:uiPriority w:val="34"/>
    <w:qFormat/>
    <w:rsid w:val="00EB0432"/>
    <w:pPr>
      <w:ind w:left="720"/>
      <w:contextualSpacing/>
    </w:pPr>
  </w:style>
  <w:style w:type="character" w:styleId="IntenseEmphasis">
    <w:name w:val="Intense Emphasis"/>
    <w:basedOn w:val="DefaultParagraphFont"/>
    <w:uiPriority w:val="21"/>
    <w:qFormat/>
    <w:rsid w:val="00EB0432"/>
    <w:rPr>
      <w:i/>
      <w:iCs/>
      <w:color w:val="0F4761" w:themeColor="accent1" w:themeShade="BF"/>
    </w:rPr>
  </w:style>
  <w:style w:type="paragraph" w:styleId="IntenseQuote">
    <w:name w:val="Intense Quote"/>
    <w:basedOn w:val="Normal"/>
    <w:next w:val="Normal"/>
    <w:link w:val="IntenseQuoteChar"/>
    <w:uiPriority w:val="30"/>
    <w:qFormat/>
    <w:rsid w:val="00EB043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0432"/>
    <w:rPr>
      <w:i/>
      <w:iCs/>
      <w:color w:val="0F4761" w:themeColor="accent1" w:themeShade="BF"/>
    </w:rPr>
  </w:style>
  <w:style w:type="character" w:styleId="IntenseReference">
    <w:name w:val="Intense Reference"/>
    <w:basedOn w:val="DefaultParagraphFont"/>
    <w:uiPriority w:val="32"/>
    <w:qFormat/>
    <w:rsid w:val="00EB0432"/>
    <w:rPr>
      <w:b/>
      <w:bCs/>
      <w:smallCaps/>
      <w:color w:val="0F4761" w:themeColor="accent1" w:themeShade="BF"/>
      <w:spacing w:val="5"/>
    </w:rPr>
  </w:style>
  <w:style w:type="paragraph" w:styleId="Header">
    <w:name w:val="header"/>
    <w:basedOn w:val="Normal"/>
    <w:link w:val="HeaderChar"/>
    <w:uiPriority w:val="99"/>
    <w:unhideWhenUsed/>
    <w:rsid w:val="00EB0432"/>
    <w:pPr>
      <w:tabs>
        <w:tab w:val="center" w:pos="4513"/>
        <w:tab w:val="right" w:pos="9026"/>
      </w:tabs>
    </w:pPr>
  </w:style>
  <w:style w:type="character" w:customStyle="1" w:styleId="HeaderChar">
    <w:name w:val="Header Char"/>
    <w:basedOn w:val="DefaultParagraphFont"/>
    <w:link w:val="Header"/>
    <w:uiPriority w:val="99"/>
    <w:rsid w:val="00EB0432"/>
  </w:style>
  <w:style w:type="paragraph" w:styleId="Footer">
    <w:name w:val="footer"/>
    <w:basedOn w:val="Normal"/>
    <w:link w:val="FooterChar"/>
    <w:uiPriority w:val="99"/>
    <w:unhideWhenUsed/>
    <w:rsid w:val="00EB0432"/>
    <w:pPr>
      <w:tabs>
        <w:tab w:val="center" w:pos="4513"/>
        <w:tab w:val="right" w:pos="9026"/>
      </w:tabs>
    </w:pPr>
  </w:style>
  <w:style w:type="character" w:customStyle="1" w:styleId="FooterChar">
    <w:name w:val="Footer Char"/>
    <w:basedOn w:val="DefaultParagraphFont"/>
    <w:link w:val="Footer"/>
    <w:uiPriority w:val="99"/>
    <w:rsid w:val="00EB0432"/>
  </w:style>
  <w:style w:type="character" w:customStyle="1" w:styleId="ListParagraphChar">
    <w:name w:val="List Paragraph Char"/>
    <w:aliases w:val="RUS List Char,Noise heading Char,Credits Char,Number abc Char,a List Paragraph Char,Text Char,Cell bullets Char,alphabet listing Char,List Paragraph1 Char,Normal 1 Char,Rec para Char,En tête 1 Char,MICA-List Char,L1 Char,L Char"/>
    <w:basedOn w:val="DefaultParagraphFont"/>
    <w:link w:val="ListParagraph"/>
    <w:uiPriority w:val="34"/>
    <w:qFormat/>
    <w:locked/>
    <w:rsid w:val="00EB04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499</Words>
  <Characters>2576</Characters>
  <Application>Microsoft Office Word</Application>
  <DocSecurity>0</DocSecurity>
  <Lines>107</Lines>
  <Paragraphs>31</Paragraphs>
  <ScaleCrop>false</ScaleCrop>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 Chong</dc:creator>
  <cp:keywords/>
  <dc:description/>
  <cp:lastModifiedBy>William Chong</cp:lastModifiedBy>
  <cp:revision>1</cp:revision>
  <dcterms:created xsi:type="dcterms:W3CDTF">2026-01-30T03:42:00Z</dcterms:created>
  <dcterms:modified xsi:type="dcterms:W3CDTF">2026-01-30T03:46:00Z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df6812-4fc3-446e-92d3-3d86963574cd_Enabled">
    <vt:lpwstr>true</vt:lpwstr>
  </property>
  <property fmtid="{D5CDD505-2E9C-101B-9397-08002B2CF9AE}" pid="3" name="MSIP_Label_69df6812-4fc3-446e-92d3-3d86963574cd_SetDate">
    <vt:lpwstr>2026-01-30T03:46:30Z</vt:lpwstr>
  </property>
  <property fmtid="{D5CDD505-2E9C-101B-9397-08002B2CF9AE}" pid="4" name="MSIP_Label_69df6812-4fc3-446e-92d3-3d86963574cd_Method">
    <vt:lpwstr>Standard</vt:lpwstr>
  </property>
  <property fmtid="{D5CDD505-2E9C-101B-9397-08002B2CF9AE}" pid="5" name="MSIP_Label_69df6812-4fc3-446e-92d3-3d86963574cd_Name">
    <vt:lpwstr>External 4Nov22</vt:lpwstr>
  </property>
  <property fmtid="{D5CDD505-2E9C-101B-9397-08002B2CF9AE}" pid="6" name="MSIP_Label_69df6812-4fc3-446e-92d3-3d86963574cd_SiteId">
    <vt:lpwstr>ef083acb-5114-4443-932a-963ed0d3cc27</vt:lpwstr>
  </property>
  <property fmtid="{D5CDD505-2E9C-101B-9397-08002B2CF9AE}" pid="7" name="MSIP_Label_69df6812-4fc3-446e-92d3-3d86963574cd_ActionId">
    <vt:lpwstr>938495af-a669-46fa-8bb4-4a6828c4ed70</vt:lpwstr>
  </property>
  <property fmtid="{D5CDD505-2E9C-101B-9397-08002B2CF9AE}" pid="8" name="MSIP_Label_69df6812-4fc3-446e-92d3-3d86963574cd_ContentBits">
    <vt:lpwstr>0</vt:lpwstr>
  </property>
  <property fmtid="{D5CDD505-2E9C-101B-9397-08002B2CF9AE}" pid="9" name="MSIP_Label_69df6812-4fc3-446e-92d3-3d86963574cd_Tag">
    <vt:lpwstr>10, 3, 0, 1</vt:lpwstr>
  </property>
</Properties>
</file>